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9C" w:rsidRDefault="0097539C" w:rsidP="0097539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</w:t>
      </w:r>
    </w:p>
    <w:p w:rsidR="0097539C" w:rsidRDefault="0097539C" w:rsidP="0097539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ТУРИСТИЧЕСКИХ ОПЕРАТОРОВ И АГЕНТСТВ (ВИЗОВЫХ ЦЕНТРОВ)</w:t>
      </w:r>
    </w:p>
    <w:p w:rsidR="0097539C" w:rsidRDefault="0097539C" w:rsidP="0097539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 АКТУАЛЬНЫМ ПРОБЛЕМАМ ОБРАБОТКИ ПЕРСОНАЛЬНЫХ ДАННЫХ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Обработка персональных данных туриста.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27.07.2006 № 152-ФЗ "О персональных данных" (далее – Федеральный закон о персональных данных) обязывает всех юридических лиц соблюдать определенные требования при обработке персональных данных работников и клиентов. Не исключение в данном случае и организации, оказывающие услуги в сфере туризма и путешествий.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со статьей 10 Федерального закона от 24.11.1996 № 132-ФЗ "Об основах туристской деятельности в Российской Федерации" турист, в целях заключения и надлежащего исполнения договора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передает последнему сведения о себе в объеме, необходимом для реализации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турпродукта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Таким образом,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является оператором, осуществляющим обработку персональных данных туриста.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Что такое персональные данные туриста?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пункту 1 статьи 3 Федерального закона о персональных данных персональные данные − любая информация, относящаяся к прямо или косвенно определенному или определяемому физическому лицу (субъекту персональных данных),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персональным данным туриста относятся сведения о нем, необходимые для реализации туристского продукта. Перечень необходимых сведений о туристе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определяет самостоятельно. Чаще всего к ним относятся: фамилия, имя, отчество туриста, данные общегражданского паспорта, данные загранпаспорта, пол, дата рождения, гражданство, номер телефона и другие персональные данные.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Согласие туриста на обработку персональных данных.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Обработка персональных данных должна соответствовать определенным целям. Не допускается обработка персональных данных, несовместимая с целями сбора персональных данных. Цель определяется в договоре между туристом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например для оказания услуг туристу по подбору и предоставлению ему туристского продукта.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Оператор должен четко определить состав персональных данных, подлежащих обработке и способ обработки. Выделяют несколько способов обработки: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автоматизированная обработка − обработка персональных данных с помощью средств вычислительной техники, информационно-вычислительных комплексов и сети, средств и систем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другие технические средства обработки речевой, графической, видео- и буквенно-цифровой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информации), программных средств (операционные системы, системы управления базами данных и т.п.), применяемых в информационных системах;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неавтоматизированная обработка – обработка персональных данных,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смешенная обработка (наличие автоматизированной и неавтоматизированной обработки одновременно).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Важно различать туриста и заказчика туристского продукта, не всегда - это одно лицо, и чаще всего бывает, что заказчик (он же турист) заказывает тур на несколько человек. Согласие на обработку персональных данных несовершеннолетнего туриста дает его законный представитель.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Обработка персональных данных осуществляется с согласия субъекта персональных данных (туриста) на обработку его персональных данных. Согласие не требуется, если обработка персональных данных необходима для исполнения договора, стороной которого либо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поручителем.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Права и обязанности оператора персональных данных. Какие нормативные документы должны быть приняты в организации?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Оператор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при обработке персональных данных обязан принимать необходимые и достаточны для обеспечения выполнения обязанностей, предусмотренных Федеральным законом от 27.07.2006 № 152-ФЗ «О персональных данных» (далее – Федеральный закон) и принятыми в соответствии с ним нормативными правовыми актами, в том числе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неправомерных действий в отношении персональных данных.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статье 7 Федерального закона Операторы и иные лица, получившие доступ к персональным данным.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Вопрос конфиденциальности персональных данных туриста должен ставиться не только в отношениях между туристом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но и между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турагентом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туроператором. Агентский договор должен обязательно содержать условие о конфиденциальности передаваемых туроператору персональных данных туриста.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Технические меры по защите персональных данных в соответствии с частью 2 статьи 19 Федерального закона о персональных данных устанавливаются приказом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и приказом ФСБ России от 10.07.2014 №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Права и обязанности субъекта персональных данных.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подтверждение факта обработки персональных данных оператором;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правовые основания и цели обработки персональных данных;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цели и применяемые оператором способы обработки персональных данных;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сроки обработки персональных данных, в том числе сроки их хранения;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информацию об осуществленной или о предполагаемой трансграничной передаче данных;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Уведомление уполномоченного органа.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1 статьи 22 Федерального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данных.</w:t>
      </w:r>
    </w:p>
    <w:p w:rsidR="0097539C" w:rsidRDefault="0097539C" w:rsidP="0097539C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Возможность для оператора осуществлять обработку персональных данных без уведомления уполномоченного органа по защите прав субъектов персональных данных имеет место </w:t>
      </w:r>
      <w:r>
        <w:rPr>
          <w:rStyle w:val="a4"/>
          <w:rFonts w:ascii="Arial" w:hAnsi="Arial" w:cs="Arial"/>
          <w:color w:val="000000"/>
          <w:sz w:val="20"/>
          <w:szCs w:val="20"/>
        </w:rPr>
        <w:t>исключительно</w:t>
      </w:r>
      <w:r>
        <w:rPr>
          <w:rFonts w:ascii="Arial" w:hAnsi="Arial" w:cs="Arial"/>
          <w:color w:val="000000"/>
          <w:sz w:val="20"/>
          <w:szCs w:val="20"/>
        </w:rPr>
        <w:t> в тех случаях, которые предусмотрены ч. 2 ст. 22 Федерального закона.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39C"/>
    <w:rsid w:val="000E410B"/>
    <w:rsid w:val="0097539C"/>
    <w:rsid w:val="00B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2020-06-17T08:23:00Z</dcterms:created>
  <dcterms:modified xsi:type="dcterms:W3CDTF">2020-06-17T08:24:00Z</dcterms:modified>
</cp:coreProperties>
</file>